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607" w:rsidRPr="00A02607" w:rsidRDefault="00A02607" w:rsidP="00A02607">
      <w:pPr>
        <w:autoSpaceDE w:val="0"/>
        <w:autoSpaceDN w:val="0"/>
        <w:adjustRightInd w:val="0"/>
        <w:spacing w:after="195" w:line="276" w:lineRule="auto"/>
        <w:ind w:right="141"/>
        <w:jc w:val="both"/>
        <w:rPr>
          <w:rFonts w:ascii="Calibri" w:eastAsia="Times New Roman" w:hAnsi="Calibri" w:cs="Times New Roman"/>
          <w:i/>
          <w:color w:val="5B9BD5"/>
          <w:sz w:val="18"/>
          <w:szCs w:val="18"/>
          <w:lang w:val="x-none" w:eastAsia="cs-CZ"/>
        </w:rPr>
      </w:pPr>
      <w:r w:rsidRPr="00A02607">
        <w:rPr>
          <w:rFonts w:ascii="Calibri" w:eastAsia="Times New Roman" w:hAnsi="Calibri" w:cs="Times New Roman"/>
          <w:i/>
          <w:color w:val="5B9BD5"/>
          <w:sz w:val="18"/>
          <w:szCs w:val="18"/>
          <w:lang w:val="x-none" w:eastAsia="cs-CZ"/>
        </w:rPr>
        <w:t>Subjekt údajů (osoba) má mimo jiné tzv. právo na přenositelnost údajů. Subjekt údajů, který poskytl správci své osobní údaje, tak má právo tyto údaje získat, a to ve strukturovaném, běžně používaném a strojově čitelném formátu. Jedná se nejen o údaje poskytnuté vědomě a cíleně, ale i vysledovaná data poskytnutá subjektem údajů na základě využívání služby nebo zařízení (např. historie prohlížení, provozní a lokalizační údaje, historie transakcí, apod.). Právo na přenositelnost posiluje postavení subjektu údajů a umožňuje větší kontrolu nad osobními údaji, které správce zpracovává. Možnost předání osobních údajů od jednoho správce jinému, pak přispěje k podpoře volného pohybu osobních dat v Evropské unii, což je jedním z cílů nařízení.</w:t>
      </w:r>
    </w:p>
    <w:p w:rsidR="00A02607" w:rsidRPr="00A02607" w:rsidRDefault="00A02607" w:rsidP="00A02607">
      <w:pPr>
        <w:autoSpaceDE w:val="0"/>
        <w:autoSpaceDN w:val="0"/>
        <w:adjustRightInd w:val="0"/>
        <w:spacing w:after="195" w:line="276" w:lineRule="auto"/>
        <w:ind w:right="141"/>
        <w:jc w:val="both"/>
        <w:rPr>
          <w:rFonts w:ascii="Calibri" w:eastAsia="Times New Roman" w:hAnsi="Calibri" w:cs="Times New Roman"/>
          <w:i/>
          <w:color w:val="5B9BD5"/>
          <w:sz w:val="18"/>
          <w:szCs w:val="18"/>
          <w:lang w:val="x-none" w:eastAsia="cs-CZ"/>
        </w:rPr>
      </w:pPr>
      <w:r w:rsidRPr="00A02607">
        <w:rPr>
          <w:rFonts w:ascii="Calibri" w:eastAsia="Times New Roman" w:hAnsi="Calibri" w:cs="Times New Roman"/>
          <w:i/>
          <w:color w:val="5B9BD5"/>
          <w:sz w:val="18"/>
          <w:szCs w:val="18"/>
          <w:lang w:val="x-none" w:eastAsia="cs-CZ"/>
        </w:rPr>
        <w:t>Subjekt údajů pak může tyto údaje předat jinému správci, přičemž původní správce mu není oprávněn v tomto bránit. Subjekt údajů může také žádat, aby správce přímo předal osobní údaje subjektu údajů jinému správci, je-li to technický proveditelné (i v tomto případě je správce povinen údaje poskytnout ve strukturovaném, běžně používaném a strojově čitelném formátu).</w:t>
      </w:r>
    </w:p>
    <w:p w:rsidR="00A02607" w:rsidRDefault="00A02607" w:rsidP="00A02607">
      <w:pPr>
        <w:autoSpaceDE w:val="0"/>
        <w:autoSpaceDN w:val="0"/>
        <w:adjustRightInd w:val="0"/>
        <w:spacing w:after="195" w:line="276" w:lineRule="auto"/>
        <w:ind w:right="141"/>
        <w:jc w:val="both"/>
        <w:rPr>
          <w:rFonts w:ascii="Calibri" w:eastAsia="Times New Roman" w:hAnsi="Calibri" w:cs="Times New Roman"/>
          <w:i/>
          <w:color w:val="5B9BD5"/>
          <w:sz w:val="18"/>
          <w:szCs w:val="18"/>
          <w:lang w:val="x-none" w:eastAsia="cs-CZ"/>
        </w:rPr>
      </w:pPr>
      <w:r w:rsidRPr="00A02607">
        <w:rPr>
          <w:rFonts w:ascii="Calibri" w:eastAsia="Times New Roman" w:hAnsi="Calibri" w:cs="Times New Roman"/>
          <w:i/>
          <w:color w:val="5B9BD5"/>
          <w:sz w:val="18"/>
          <w:szCs w:val="18"/>
          <w:lang w:val="x-none" w:eastAsia="cs-CZ"/>
        </w:rPr>
        <w:t>Právo na přenositelnost údajů lze uplatnit, jen pokud je zpracování údajů založeno na souhlasu subjektu údajů nebo na smlouvě jejíž smluvní stranou subjekt údajů je, a současně se zpracování provádí automatizovaně.</w:t>
      </w:r>
    </w:p>
    <w:p w:rsidR="006A3490" w:rsidRPr="006A3490" w:rsidRDefault="006A3490" w:rsidP="006A3490">
      <w:pPr>
        <w:autoSpaceDE w:val="0"/>
        <w:autoSpaceDN w:val="0"/>
        <w:adjustRightInd w:val="0"/>
        <w:spacing w:after="195" w:line="276" w:lineRule="auto"/>
        <w:ind w:right="141"/>
        <w:jc w:val="both"/>
        <w:rPr>
          <w:rFonts w:ascii="Calibri" w:eastAsia="Times New Roman" w:hAnsi="Calibri" w:cs="Times New Roman"/>
          <w:i/>
          <w:color w:val="5B9BD5"/>
          <w:sz w:val="18"/>
          <w:szCs w:val="18"/>
          <w:lang w:val="x-none" w:eastAsia="cs-CZ"/>
        </w:rPr>
      </w:pPr>
      <w:r w:rsidRPr="006A3490">
        <w:rPr>
          <w:rFonts w:ascii="Calibri" w:eastAsia="Times New Roman" w:hAnsi="Calibri" w:cs="Times New Roman"/>
          <w:i/>
          <w:color w:val="5B9BD5"/>
          <w:sz w:val="18"/>
          <w:szCs w:val="18"/>
          <w:lang w:val="x-none" w:eastAsia="cs-CZ"/>
        </w:rPr>
        <w:t xml:space="preserve">Správce odpovídá za to, že předávané údaje jsou přesné a aktualizované. Lze doporučit, aby správce před přenosem dat ověřil u subjektu údajů, že skutečně předává přesně ty údaje, o jejichž přenos subjekt žádal. </w:t>
      </w:r>
    </w:p>
    <w:p w:rsidR="006A3490" w:rsidRPr="00A02607" w:rsidRDefault="006A3490" w:rsidP="00A02607">
      <w:pPr>
        <w:autoSpaceDE w:val="0"/>
        <w:autoSpaceDN w:val="0"/>
        <w:adjustRightInd w:val="0"/>
        <w:spacing w:after="195" w:line="276" w:lineRule="auto"/>
        <w:ind w:right="141"/>
        <w:jc w:val="both"/>
        <w:rPr>
          <w:rFonts w:ascii="Calibri" w:eastAsia="Times New Roman" w:hAnsi="Calibri" w:cs="Times New Roman"/>
          <w:i/>
          <w:color w:val="5B9BD5"/>
          <w:sz w:val="18"/>
          <w:szCs w:val="18"/>
          <w:lang w:val="x-none" w:eastAsia="cs-CZ"/>
        </w:rPr>
      </w:pPr>
      <w:r w:rsidRPr="006A3490">
        <w:rPr>
          <w:rFonts w:ascii="Calibri" w:eastAsia="Times New Roman" w:hAnsi="Calibri" w:cs="Times New Roman"/>
          <w:i/>
          <w:color w:val="5B9BD5"/>
          <w:sz w:val="18"/>
          <w:szCs w:val="18"/>
          <w:lang w:val="x-none" w:eastAsia="cs-CZ"/>
        </w:rPr>
        <w:t>Správce je povinen vyřídit žádost bez zbytečného odkladu, nejpozději však ve lhůtě do jednoho měsíce od přijetí žádosti. Tuto lhůtu lze prodloužit o další dva měsíce, o čemž je správce povinen subjekt údajů informovat. Pokud správce žádosti nevyhoví, informuje o tom subjekt údajů a sdělí mu důvody odmítnutí žádosti. Správce je povinen poskytovat údaje bezplatně, pokud se nejedná o opakované nebo nedůvodné žádosti.</w:t>
      </w:r>
    </w:p>
    <w:p w:rsidR="00E62255" w:rsidRPr="00E62255" w:rsidRDefault="00E62255" w:rsidP="00E62255">
      <w:pPr>
        <w:autoSpaceDE w:val="0"/>
        <w:autoSpaceDN w:val="0"/>
        <w:adjustRightInd w:val="0"/>
        <w:spacing w:after="195" w:line="276" w:lineRule="auto"/>
        <w:ind w:right="141"/>
        <w:jc w:val="both"/>
        <w:rPr>
          <w:rFonts w:ascii="Calibri" w:eastAsia="Times New Roman" w:hAnsi="Calibri" w:cs="Times New Roman"/>
          <w:i/>
          <w:color w:val="5B9BD5"/>
          <w:sz w:val="18"/>
          <w:szCs w:val="18"/>
          <w:lang w:val="x-none" w:eastAsia="cs-CZ"/>
        </w:rPr>
      </w:pPr>
      <w:r w:rsidRPr="00E62255">
        <w:rPr>
          <w:rFonts w:ascii="Calibri" w:eastAsia="Times New Roman" w:hAnsi="Calibri" w:cs="Times New Roman"/>
          <w:i/>
          <w:color w:val="5B9BD5"/>
          <w:sz w:val="18"/>
          <w:szCs w:val="18"/>
          <w:lang w:val="x-none" w:eastAsia="cs-CZ"/>
        </w:rPr>
        <w:t xml:space="preserve">Způsob podpisu musí odpovídat zvolené alternativě podání. Jde-li o podání učiněné elektronicky, musí být podepsáno dle </w:t>
      </w:r>
      <w:hyperlink r:id="rId5" w:history="1">
        <w:r w:rsidRPr="00E62255">
          <w:rPr>
            <w:rStyle w:val="Hypertextovodkaz"/>
            <w:rFonts w:ascii="Calibri" w:eastAsia="Times New Roman" w:hAnsi="Calibri" w:cs="Times New Roman"/>
            <w:i/>
            <w:sz w:val="18"/>
            <w:szCs w:val="18"/>
            <w:lang w:val="x-none" w:eastAsia="cs-CZ"/>
          </w:rPr>
          <w:t>§ 6 odst. 1</w:t>
        </w:r>
      </w:hyperlink>
      <w:r w:rsidRPr="00E62255">
        <w:rPr>
          <w:rFonts w:ascii="Calibri" w:eastAsia="Times New Roman" w:hAnsi="Calibri" w:cs="Times New Roman"/>
          <w:i/>
          <w:color w:val="5B9BD5"/>
          <w:sz w:val="18"/>
          <w:szCs w:val="18"/>
          <w:lang w:val="x-none" w:eastAsia="cs-CZ"/>
        </w:rPr>
        <w:t xml:space="preserve"> zákona č. 297/2016 Sb., o službách vytvářejících důvěru pro elektronické transakce, uznávaným elektronickým podpisem. Slovní spojení „uznávaný elektronický podpis“ je legislativní zkratka, kterou se dle </w:t>
      </w:r>
      <w:hyperlink r:id="rId6" w:history="1">
        <w:r w:rsidRPr="00E62255">
          <w:rPr>
            <w:rStyle w:val="Hypertextovodkaz"/>
            <w:rFonts w:ascii="Calibri" w:eastAsia="Times New Roman" w:hAnsi="Calibri" w:cs="Times New Roman"/>
            <w:i/>
            <w:sz w:val="18"/>
            <w:szCs w:val="18"/>
            <w:lang w:val="x-none" w:eastAsia="cs-CZ"/>
          </w:rPr>
          <w:t>§ 6 odst. 2</w:t>
        </w:r>
      </w:hyperlink>
      <w:r w:rsidRPr="00E62255">
        <w:rPr>
          <w:rFonts w:ascii="Calibri" w:eastAsia="Times New Roman" w:hAnsi="Calibri" w:cs="Times New Roman"/>
          <w:i/>
          <w:color w:val="5B9BD5"/>
          <w:sz w:val="18"/>
          <w:szCs w:val="18"/>
          <w:lang w:val="x-none" w:eastAsia="cs-CZ"/>
        </w:rPr>
        <w:t xml:space="preserve"> zákona č. 297/2016 Sb., o službách vytvářejících důvěru pro elektronické transakce, rozumí buď zaručený elektronický podpis založený na kvalifikovaném certifikátu pro elektronický podpis, nebo kvalifikovaný elektronický podpis. Takový podpis má účinky vlastnoručního podpisu. Podání učiněné prostřednictvím datové schránky není třeba podepisovat, nejedná-li se o podání činěné více osoby, protože datová schránka se vztahuje vždy pouze k jednomu subjektu.</w:t>
      </w:r>
    </w:p>
    <w:p w:rsidR="00E62255" w:rsidRPr="00D613BB" w:rsidRDefault="00D613BB" w:rsidP="00D613BB">
      <w:pPr>
        <w:autoSpaceDE w:val="0"/>
        <w:autoSpaceDN w:val="0"/>
        <w:adjustRightInd w:val="0"/>
        <w:spacing w:after="195" w:line="276" w:lineRule="auto"/>
        <w:ind w:right="141"/>
        <w:jc w:val="both"/>
        <w:rPr>
          <w:rFonts w:ascii="Calibri" w:eastAsia="Times New Roman" w:hAnsi="Calibri" w:cs="Times New Roman"/>
          <w:b/>
          <w:color w:val="FF0000"/>
          <w:lang w:val="x-none" w:eastAsia="cs-CZ"/>
        </w:rPr>
      </w:pPr>
      <w:r w:rsidRPr="00D613BB">
        <w:rPr>
          <w:rFonts w:ascii="Calibri" w:eastAsia="Times New Roman" w:hAnsi="Calibri" w:cs="Times New Roman"/>
          <w:b/>
          <w:color w:val="FF0000"/>
          <w:lang w:val="x-none" w:eastAsia="cs-CZ"/>
        </w:rPr>
        <w:t>Jedná se o obecnou verzi vzoru, pro použití je třeba vždy uvážit veškeré potřebné informace pro finální verzi dokumentu.</w:t>
      </w:r>
    </w:p>
    <w:p w:rsidR="00A02607" w:rsidRPr="00A02607" w:rsidRDefault="00A02607" w:rsidP="00A02607">
      <w:pPr>
        <w:widowControl w:val="0"/>
        <w:autoSpaceDE w:val="0"/>
        <w:autoSpaceDN w:val="0"/>
        <w:adjustRightInd w:val="0"/>
        <w:spacing w:after="0" w:line="240" w:lineRule="auto"/>
        <w:rPr>
          <w:rFonts w:ascii="Calibri" w:eastAsia="Times New Roman" w:hAnsi="Calibri" w:cs="Arial"/>
          <w:b/>
          <w:bCs/>
          <w:sz w:val="24"/>
          <w:szCs w:val="24"/>
          <w:lang w:val="x-none" w:eastAsia="cs-CZ"/>
        </w:rPr>
      </w:pPr>
      <w:r w:rsidRPr="00A02607">
        <w:rPr>
          <w:rFonts w:ascii="Calibri" w:eastAsia="Times New Roman" w:hAnsi="Calibri" w:cs="Arial"/>
          <w:b/>
          <w:bCs/>
          <w:sz w:val="24"/>
          <w:szCs w:val="24"/>
          <w:lang w:val="x-none" w:eastAsia="cs-CZ"/>
        </w:rPr>
        <w:t>ŽÁDOST O PŘENOSITELNOST DAT</w:t>
      </w:r>
    </w:p>
    <w:p w:rsidR="00E62255" w:rsidRPr="00E62255" w:rsidRDefault="00E62255" w:rsidP="00E62255">
      <w:pPr>
        <w:widowControl w:val="0"/>
        <w:autoSpaceDE w:val="0"/>
        <w:autoSpaceDN w:val="0"/>
        <w:adjustRightInd w:val="0"/>
        <w:spacing w:after="0" w:line="240" w:lineRule="auto"/>
        <w:rPr>
          <w:rFonts w:ascii="Calibri" w:eastAsia="Times New Roman" w:hAnsi="Calibri" w:cs="Arial"/>
          <w:lang w:val="x-none" w:eastAsia="cs-CZ"/>
        </w:rPr>
      </w:pPr>
    </w:p>
    <w:p w:rsidR="00D613BB" w:rsidRPr="006A3490" w:rsidRDefault="00E62255" w:rsidP="00E62255">
      <w:pPr>
        <w:widowControl w:val="0"/>
        <w:autoSpaceDE w:val="0"/>
        <w:autoSpaceDN w:val="0"/>
        <w:adjustRightInd w:val="0"/>
        <w:spacing w:after="0" w:line="240" w:lineRule="auto"/>
        <w:rPr>
          <w:rFonts w:eastAsia="Times New Roman" w:cs="Arial"/>
          <w:sz w:val="20"/>
          <w:szCs w:val="20"/>
          <w:lang w:eastAsia="cs-CZ"/>
        </w:rPr>
      </w:pPr>
      <w:r w:rsidRPr="006A3490">
        <w:rPr>
          <w:rFonts w:eastAsia="Times New Roman" w:cs="Arial"/>
          <w:sz w:val="20"/>
          <w:szCs w:val="20"/>
          <w:lang w:val="x-none" w:eastAsia="cs-CZ"/>
        </w:rPr>
        <w:t xml:space="preserve">Já, </w:t>
      </w:r>
      <w:r w:rsidRPr="006A3490">
        <w:rPr>
          <w:rFonts w:eastAsia="Times New Roman" w:cs="Arial"/>
          <w:i/>
          <w:color w:val="5B9BD5" w:themeColor="accent1"/>
          <w:sz w:val="20"/>
          <w:szCs w:val="20"/>
          <w:lang w:eastAsia="cs-CZ"/>
        </w:rPr>
        <w:t>jméno, příjmení</w:t>
      </w:r>
      <w:r w:rsidRPr="006A3490">
        <w:rPr>
          <w:rFonts w:eastAsia="Times New Roman" w:cs="Arial"/>
          <w:sz w:val="20"/>
          <w:szCs w:val="20"/>
          <w:lang w:eastAsia="cs-CZ"/>
        </w:rPr>
        <w:t>,</w:t>
      </w:r>
      <w:r w:rsidRPr="006A3490">
        <w:rPr>
          <w:rFonts w:eastAsia="Times New Roman" w:cs="Arial"/>
          <w:sz w:val="20"/>
          <w:szCs w:val="20"/>
          <w:lang w:val="x-none" w:eastAsia="cs-CZ"/>
        </w:rPr>
        <w:t xml:space="preserve"> trvale bytem </w:t>
      </w:r>
      <w:r w:rsidRPr="006A3490">
        <w:rPr>
          <w:rFonts w:eastAsia="Times New Roman" w:cs="Arial"/>
          <w:i/>
          <w:color w:val="5B9BD5" w:themeColor="accent1"/>
          <w:sz w:val="20"/>
          <w:szCs w:val="20"/>
          <w:lang w:eastAsia="cs-CZ"/>
        </w:rPr>
        <w:t>adresa</w:t>
      </w:r>
      <w:r w:rsidRPr="006A3490">
        <w:rPr>
          <w:rFonts w:eastAsia="Times New Roman" w:cs="Arial"/>
          <w:sz w:val="20"/>
          <w:szCs w:val="20"/>
          <w:lang w:val="x-none" w:eastAsia="cs-CZ"/>
        </w:rPr>
        <w:t xml:space="preserve">, nar. </w:t>
      </w:r>
      <w:r w:rsidRPr="006A3490">
        <w:rPr>
          <w:rFonts w:eastAsia="Times New Roman" w:cs="Arial"/>
          <w:i/>
          <w:color w:val="5B9BD5" w:themeColor="accent1"/>
          <w:sz w:val="20"/>
          <w:szCs w:val="20"/>
          <w:lang w:eastAsia="cs-CZ"/>
        </w:rPr>
        <w:t>00.00.0000</w:t>
      </w:r>
    </w:p>
    <w:p w:rsidR="00E62255" w:rsidRPr="006A3490" w:rsidRDefault="00E62255" w:rsidP="00E62255">
      <w:pPr>
        <w:autoSpaceDE w:val="0"/>
        <w:autoSpaceDN w:val="0"/>
        <w:adjustRightInd w:val="0"/>
        <w:spacing w:after="0" w:line="240" w:lineRule="auto"/>
        <w:jc w:val="both"/>
        <w:rPr>
          <w:rFonts w:cs="Times New Roman"/>
          <w:sz w:val="20"/>
          <w:szCs w:val="20"/>
          <w:lang w:val="x-none"/>
        </w:rPr>
      </w:pPr>
      <w:r w:rsidRPr="006A3490">
        <w:rPr>
          <w:rFonts w:cs="Times New Roman"/>
          <w:sz w:val="20"/>
          <w:szCs w:val="20"/>
          <w:lang w:val="x-none"/>
        </w:rPr>
        <w:t>tímto v souladu s nařízením Evropského parlamentu a Rady č. 2016/679 o ochraně fyzických osob v souvislosti se zpracováním osobních údajů a o volném pohybu těchto údajů a o zrušení směrnice 95/46/ES (dále jen „obecné nařízení o ochraně osobních údajů“)</w:t>
      </w:r>
    </w:p>
    <w:p w:rsidR="00E62255" w:rsidRPr="006A3490" w:rsidRDefault="00E62255" w:rsidP="00E62255">
      <w:pPr>
        <w:autoSpaceDE w:val="0"/>
        <w:autoSpaceDN w:val="0"/>
        <w:adjustRightInd w:val="0"/>
        <w:spacing w:after="0" w:line="240" w:lineRule="auto"/>
        <w:jc w:val="both"/>
        <w:rPr>
          <w:rFonts w:cs="Times New Roman"/>
          <w:sz w:val="20"/>
          <w:szCs w:val="20"/>
          <w:lang w:val="x-none"/>
        </w:rPr>
      </w:pPr>
    </w:p>
    <w:p w:rsidR="00E62255" w:rsidRPr="006A3490" w:rsidRDefault="00E62255" w:rsidP="00E62255">
      <w:pPr>
        <w:autoSpaceDE w:val="0"/>
        <w:autoSpaceDN w:val="0"/>
        <w:adjustRightInd w:val="0"/>
        <w:spacing w:after="0" w:line="240" w:lineRule="auto"/>
        <w:jc w:val="both"/>
        <w:rPr>
          <w:rFonts w:cs="Times New Roman"/>
          <w:sz w:val="20"/>
          <w:szCs w:val="20"/>
        </w:rPr>
      </w:pPr>
      <w:r w:rsidRPr="006A3490">
        <w:rPr>
          <w:rFonts w:cs="Times New Roman"/>
          <w:b/>
          <w:bCs/>
          <w:sz w:val="20"/>
          <w:szCs w:val="20"/>
          <w:lang w:val="x-none"/>
        </w:rPr>
        <w:t xml:space="preserve">ž á d á m </w:t>
      </w:r>
      <w:r w:rsidRPr="006A3490">
        <w:rPr>
          <w:rFonts w:cs="Times New Roman"/>
          <w:sz w:val="20"/>
          <w:szCs w:val="20"/>
          <w:lang w:val="x-none"/>
        </w:rPr>
        <w:t xml:space="preserve">, aby obec </w:t>
      </w:r>
      <w:r w:rsidRPr="006A3490">
        <w:rPr>
          <w:rFonts w:cs="Times New Roman"/>
          <w:i/>
          <w:color w:val="5B9BD5" w:themeColor="accent1"/>
          <w:sz w:val="20"/>
          <w:szCs w:val="20"/>
          <w:lang w:val="x-none"/>
        </w:rPr>
        <w:t>název, sídlo, I</w:t>
      </w:r>
      <w:r w:rsidRPr="006A3490">
        <w:rPr>
          <w:rFonts w:cs="Times New Roman"/>
          <w:i/>
          <w:color w:val="5B9BD5" w:themeColor="accent1"/>
          <w:sz w:val="20"/>
          <w:szCs w:val="20"/>
        </w:rPr>
        <w:t>ČO</w:t>
      </w:r>
      <w:r w:rsidRPr="006A3490">
        <w:rPr>
          <w:rFonts w:cs="Times New Roman"/>
          <w:sz w:val="20"/>
          <w:szCs w:val="20"/>
        </w:rPr>
        <w:t xml:space="preserve">, </w:t>
      </w:r>
      <w:r w:rsidRPr="006A3490">
        <w:rPr>
          <w:rFonts w:cs="Times New Roman"/>
          <w:sz w:val="20"/>
          <w:szCs w:val="20"/>
          <w:lang w:val="x-none"/>
        </w:rPr>
        <w:t xml:space="preserve">jako správce mých osobních údajů (dále jen „správce“), </w:t>
      </w:r>
    </w:p>
    <w:p w:rsidR="00E62255" w:rsidRPr="006A3490" w:rsidRDefault="00E62255" w:rsidP="00E62255">
      <w:pPr>
        <w:autoSpaceDE w:val="0"/>
        <w:autoSpaceDN w:val="0"/>
        <w:adjustRightInd w:val="0"/>
        <w:spacing w:after="0" w:line="240" w:lineRule="auto"/>
        <w:jc w:val="both"/>
        <w:rPr>
          <w:rFonts w:cs="Times New Roman"/>
          <w:sz w:val="20"/>
          <w:szCs w:val="20"/>
          <w:lang w:val="x-none"/>
        </w:rPr>
      </w:pPr>
    </w:p>
    <w:p w:rsidR="00A02607" w:rsidRPr="006A3490" w:rsidRDefault="00A02607" w:rsidP="00A02607">
      <w:pPr>
        <w:widowControl w:val="0"/>
        <w:autoSpaceDE w:val="0"/>
        <w:autoSpaceDN w:val="0"/>
        <w:adjustRightInd w:val="0"/>
        <w:spacing w:after="0" w:line="240" w:lineRule="auto"/>
        <w:jc w:val="both"/>
        <w:rPr>
          <w:rFonts w:cs="Times New Roman"/>
          <w:sz w:val="20"/>
          <w:szCs w:val="20"/>
          <w:lang w:val="x-none"/>
        </w:rPr>
      </w:pPr>
      <w:r w:rsidRPr="006A3490">
        <w:rPr>
          <w:rFonts w:cs="Times New Roman"/>
          <w:sz w:val="20"/>
          <w:szCs w:val="20"/>
          <w:lang w:val="x-none"/>
        </w:rPr>
        <w:t>dle ustanovení čl. 20 odst. 1 obecného nařízení o ochraně osobních údajů poskytl mé osobě osobní údaje, které se mne týkají a které jsem poskytl/a správci, a to ve strukturovaném, běžně používaném a strojově čitelném formátu, za účelem předání těchto údajů jinému správci.</w:t>
      </w:r>
    </w:p>
    <w:p w:rsidR="00A02607" w:rsidRPr="006A3490" w:rsidRDefault="00A02607" w:rsidP="00A02607">
      <w:pPr>
        <w:widowControl w:val="0"/>
        <w:autoSpaceDE w:val="0"/>
        <w:autoSpaceDN w:val="0"/>
        <w:adjustRightInd w:val="0"/>
        <w:spacing w:after="0" w:line="240" w:lineRule="auto"/>
        <w:jc w:val="both"/>
        <w:rPr>
          <w:rFonts w:cs="Times New Roman"/>
          <w:i/>
          <w:color w:val="FF0000"/>
          <w:sz w:val="20"/>
          <w:szCs w:val="20"/>
        </w:rPr>
      </w:pPr>
      <w:r w:rsidRPr="006A3490">
        <w:rPr>
          <w:rFonts w:cs="Times New Roman"/>
          <w:i/>
          <w:color w:val="FF0000"/>
          <w:sz w:val="20"/>
          <w:szCs w:val="20"/>
        </w:rPr>
        <w:t>nebo</w:t>
      </w:r>
    </w:p>
    <w:p w:rsidR="00A02607" w:rsidRPr="006A3490" w:rsidRDefault="00A02607" w:rsidP="00A02607">
      <w:pPr>
        <w:widowControl w:val="0"/>
        <w:autoSpaceDE w:val="0"/>
        <w:autoSpaceDN w:val="0"/>
        <w:adjustRightInd w:val="0"/>
        <w:spacing w:after="0" w:line="240" w:lineRule="auto"/>
        <w:jc w:val="both"/>
        <w:rPr>
          <w:rFonts w:cs="Times New Roman"/>
          <w:sz w:val="20"/>
          <w:szCs w:val="20"/>
          <w:lang w:val="x-none"/>
        </w:rPr>
      </w:pPr>
      <w:r w:rsidRPr="006A3490">
        <w:rPr>
          <w:rFonts w:cs="Times New Roman"/>
          <w:sz w:val="20"/>
          <w:szCs w:val="20"/>
          <w:lang w:val="x-none"/>
        </w:rPr>
        <w:t xml:space="preserve">dle ustanovení čl. 20 odst. 2 obecného nařízení o ochraně osobních údajů předal osobní údaje, které se mne týkají a které jsem poskytl/a správci, ve strukturovaném, běžně používaném a strojově čitelném formátu, společnosti </w:t>
      </w:r>
      <w:r w:rsidRPr="006A3490">
        <w:rPr>
          <w:rFonts w:cs="Times New Roman"/>
          <w:i/>
          <w:color w:val="5B9BD5" w:themeColor="accent1"/>
          <w:sz w:val="20"/>
          <w:szCs w:val="20"/>
        </w:rPr>
        <w:t>název</w:t>
      </w:r>
      <w:r w:rsidRPr="006A3490">
        <w:rPr>
          <w:rFonts w:cs="Times New Roman"/>
          <w:sz w:val="20"/>
          <w:szCs w:val="20"/>
          <w:lang w:val="x-none"/>
        </w:rPr>
        <w:t xml:space="preserve">, se sídlem </w:t>
      </w:r>
      <w:r w:rsidRPr="006A3490">
        <w:rPr>
          <w:rFonts w:cs="Times New Roman"/>
          <w:i/>
          <w:color w:val="5B9BD5" w:themeColor="accent1"/>
          <w:sz w:val="20"/>
          <w:szCs w:val="20"/>
        </w:rPr>
        <w:t>adresa</w:t>
      </w:r>
      <w:r w:rsidRPr="006A3490">
        <w:rPr>
          <w:rFonts w:cs="Times New Roman"/>
          <w:sz w:val="20"/>
          <w:szCs w:val="20"/>
          <w:lang w:val="x-none"/>
        </w:rPr>
        <w:t xml:space="preserve">, IČO: </w:t>
      </w:r>
      <w:r w:rsidRPr="006A3490">
        <w:rPr>
          <w:rFonts w:cs="Times New Roman"/>
          <w:i/>
          <w:color w:val="5B9BD5" w:themeColor="accent1"/>
          <w:sz w:val="20"/>
          <w:szCs w:val="20"/>
        </w:rPr>
        <w:t>doplnit</w:t>
      </w:r>
      <w:r w:rsidRPr="006A3490">
        <w:rPr>
          <w:rFonts w:cs="Times New Roman"/>
          <w:sz w:val="20"/>
          <w:szCs w:val="20"/>
          <w:lang w:val="x-none"/>
        </w:rPr>
        <w:t xml:space="preserve">, zapsané v obchodním rejstříku vedeném </w:t>
      </w:r>
      <w:r w:rsidRPr="006A3490">
        <w:rPr>
          <w:rFonts w:cs="Times New Roman"/>
          <w:i/>
          <w:color w:val="5B9BD5" w:themeColor="accent1"/>
          <w:sz w:val="20"/>
          <w:szCs w:val="20"/>
        </w:rPr>
        <w:t>doplnit</w:t>
      </w:r>
      <w:r w:rsidRPr="006A3490">
        <w:rPr>
          <w:rFonts w:cs="Times New Roman"/>
          <w:sz w:val="20"/>
          <w:szCs w:val="20"/>
          <w:lang w:val="x-none"/>
        </w:rPr>
        <w:t xml:space="preserve"> soudem v </w:t>
      </w:r>
      <w:r w:rsidRPr="006A3490">
        <w:rPr>
          <w:rFonts w:cs="Times New Roman"/>
          <w:i/>
          <w:color w:val="5B9BD5" w:themeColor="accent1"/>
          <w:sz w:val="20"/>
          <w:szCs w:val="20"/>
        </w:rPr>
        <w:t>doplnit</w:t>
      </w:r>
      <w:r w:rsidRPr="006A3490">
        <w:rPr>
          <w:rFonts w:cs="Times New Roman"/>
          <w:sz w:val="20"/>
          <w:szCs w:val="20"/>
          <w:lang w:val="x-none"/>
        </w:rPr>
        <w:t xml:space="preserve">, pod </w:t>
      </w:r>
      <w:proofErr w:type="spellStart"/>
      <w:r w:rsidRPr="006A3490">
        <w:rPr>
          <w:rFonts w:cs="Times New Roman"/>
          <w:sz w:val="20"/>
          <w:szCs w:val="20"/>
          <w:lang w:val="x-none"/>
        </w:rPr>
        <w:t>sp</w:t>
      </w:r>
      <w:proofErr w:type="spellEnd"/>
      <w:r w:rsidRPr="006A3490">
        <w:rPr>
          <w:rFonts w:cs="Times New Roman"/>
          <w:sz w:val="20"/>
          <w:szCs w:val="20"/>
          <w:lang w:val="x-none"/>
        </w:rPr>
        <w:t xml:space="preserve">. zn. </w:t>
      </w:r>
      <w:r w:rsidRPr="006A3490">
        <w:rPr>
          <w:rFonts w:cs="Times New Roman"/>
          <w:i/>
          <w:color w:val="5B9BD5" w:themeColor="accent1"/>
          <w:sz w:val="20"/>
          <w:szCs w:val="20"/>
        </w:rPr>
        <w:t>doplnit</w:t>
      </w:r>
      <w:r w:rsidRPr="006A3490">
        <w:rPr>
          <w:rFonts w:cs="Times New Roman"/>
          <w:sz w:val="20"/>
          <w:szCs w:val="20"/>
          <w:lang w:val="x-none"/>
        </w:rPr>
        <w:t xml:space="preserve"> (dále jen „jiný správce“). Tímto udílím výslovný souhlas s poskytnutím veškerých osobních údajů, které jsem správci poskytl/a, jinému správci. </w:t>
      </w:r>
    </w:p>
    <w:p w:rsidR="006A3490" w:rsidRDefault="006A3490" w:rsidP="00D613BB">
      <w:pPr>
        <w:widowControl w:val="0"/>
        <w:autoSpaceDE w:val="0"/>
        <w:autoSpaceDN w:val="0"/>
        <w:adjustRightInd w:val="0"/>
        <w:spacing w:after="0" w:line="240" w:lineRule="auto"/>
        <w:jc w:val="both"/>
        <w:rPr>
          <w:rFonts w:ascii="Calibri" w:eastAsia="Times New Roman" w:hAnsi="Calibri" w:cs="Times New Roman"/>
          <w:lang w:val="x-none" w:eastAsia="cs-CZ"/>
        </w:rPr>
      </w:pPr>
    </w:p>
    <w:p w:rsidR="006A3490" w:rsidRPr="006A3490" w:rsidRDefault="00D613BB" w:rsidP="00D613BB">
      <w:pPr>
        <w:widowControl w:val="0"/>
        <w:autoSpaceDE w:val="0"/>
        <w:autoSpaceDN w:val="0"/>
        <w:adjustRightInd w:val="0"/>
        <w:spacing w:after="0" w:line="240" w:lineRule="auto"/>
        <w:jc w:val="both"/>
        <w:rPr>
          <w:rFonts w:ascii="Calibri" w:eastAsia="Times New Roman" w:hAnsi="Calibri" w:cs="Times New Roman"/>
          <w:sz w:val="20"/>
          <w:szCs w:val="20"/>
          <w:lang w:eastAsia="cs-CZ"/>
        </w:rPr>
      </w:pPr>
      <w:r w:rsidRPr="006A3490">
        <w:rPr>
          <w:rFonts w:ascii="Calibri" w:eastAsia="Times New Roman" w:hAnsi="Calibri" w:cs="Times New Roman"/>
          <w:sz w:val="20"/>
          <w:szCs w:val="20"/>
          <w:lang w:val="x-none" w:eastAsia="cs-CZ"/>
        </w:rPr>
        <w:t xml:space="preserve">V </w:t>
      </w:r>
      <w:r w:rsidRPr="006A3490">
        <w:rPr>
          <w:rFonts w:ascii="Calibri" w:eastAsia="Times New Roman" w:hAnsi="Calibri" w:cs="Times New Roman"/>
          <w:sz w:val="20"/>
          <w:szCs w:val="20"/>
          <w:lang w:eastAsia="cs-CZ"/>
        </w:rPr>
        <w:t>……………………..</w:t>
      </w:r>
      <w:r w:rsidRPr="006A3490">
        <w:rPr>
          <w:rFonts w:ascii="Calibri" w:eastAsia="Times New Roman" w:hAnsi="Calibri" w:cs="Times New Roman"/>
          <w:sz w:val="20"/>
          <w:szCs w:val="20"/>
          <w:lang w:val="x-none" w:eastAsia="cs-CZ"/>
        </w:rPr>
        <w:t xml:space="preserve"> dne </w:t>
      </w:r>
      <w:r w:rsidRPr="006A3490">
        <w:rPr>
          <w:rFonts w:ascii="Calibri" w:eastAsia="Times New Roman" w:hAnsi="Calibri" w:cs="Times New Roman"/>
          <w:sz w:val="20"/>
          <w:szCs w:val="20"/>
          <w:lang w:eastAsia="cs-CZ"/>
        </w:rPr>
        <w:t>………………</w:t>
      </w:r>
      <w:bookmarkStart w:id="0" w:name="_GoBack"/>
      <w:bookmarkEnd w:id="0"/>
    </w:p>
    <w:p w:rsidR="00D613BB" w:rsidRPr="006A3490" w:rsidRDefault="00D613BB" w:rsidP="00D613BB">
      <w:pPr>
        <w:widowControl w:val="0"/>
        <w:autoSpaceDE w:val="0"/>
        <w:autoSpaceDN w:val="0"/>
        <w:adjustRightInd w:val="0"/>
        <w:spacing w:after="0" w:line="240" w:lineRule="auto"/>
        <w:jc w:val="both"/>
        <w:rPr>
          <w:rFonts w:ascii="Calibri" w:eastAsia="Times New Roman" w:hAnsi="Calibri" w:cs="Times New Roman"/>
          <w:sz w:val="20"/>
          <w:szCs w:val="20"/>
          <w:lang w:eastAsia="cs-CZ"/>
        </w:rPr>
      </w:pPr>
      <w:r w:rsidRPr="006A3490">
        <w:rPr>
          <w:rFonts w:ascii="Calibri" w:eastAsia="Times New Roman" w:hAnsi="Calibri" w:cs="Times New Roman"/>
          <w:sz w:val="20"/>
          <w:szCs w:val="20"/>
          <w:lang w:eastAsia="cs-CZ"/>
        </w:rPr>
        <w:t>……………………………………………</w:t>
      </w:r>
      <w:r w:rsidR="006E0427" w:rsidRPr="006A3490">
        <w:rPr>
          <w:rFonts w:ascii="Calibri" w:eastAsia="Times New Roman" w:hAnsi="Calibri" w:cs="Times New Roman"/>
          <w:sz w:val="20"/>
          <w:szCs w:val="20"/>
          <w:lang w:eastAsia="cs-CZ"/>
        </w:rPr>
        <w:t>…..</w:t>
      </w:r>
      <w:r w:rsidR="006A3490" w:rsidRPr="006A3490">
        <w:rPr>
          <w:rFonts w:ascii="Calibri" w:eastAsia="Times New Roman" w:hAnsi="Calibri" w:cs="Times New Roman"/>
          <w:sz w:val="20"/>
          <w:szCs w:val="20"/>
          <w:lang w:eastAsia="cs-CZ"/>
        </w:rPr>
        <w:t>.</w:t>
      </w:r>
    </w:p>
    <w:p w:rsidR="00ED0838" w:rsidRPr="006A3490" w:rsidRDefault="00D613BB" w:rsidP="006E0427">
      <w:pPr>
        <w:widowControl w:val="0"/>
        <w:autoSpaceDE w:val="0"/>
        <w:autoSpaceDN w:val="0"/>
        <w:adjustRightInd w:val="0"/>
        <w:spacing w:after="0" w:line="240" w:lineRule="auto"/>
        <w:jc w:val="both"/>
        <w:rPr>
          <w:rFonts w:ascii="Calibri" w:eastAsia="Times New Roman" w:hAnsi="Calibri" w:cs="Times New Roman"/>
          <w:i/>
          <w:sz w:val="20"/>
          <w:szCs w:val="20"/>
          <w:lang w:eastAsia="cs-CZ"/>
        </w:rPr>
      </w:pPr>
      <w:r w:rsidRPr="006A3490">
        <w:rPr>
          <w:rFonts w:ascii="Calibri" w:eastAsia="Times New Roman" w:hAnsi="Calibri" w:cs="Times New Roman"/>
          <w:i/>
          <w:sz w:val="20"/>
          <w:szCs w:val="20"/>
          <w:lang w:eastAsia="cs-CZ"/>
        </w:rPr>
        <w:t>podpis</w:t>
      </w:r>
    </w:p>
    <w:sectPr w:rsidR="00ED0838" w:rsidRPr="006A3490">
      <w:pgSz w:w="11906" w:h="16838"/>
      <w:pgMar w:top="1417" w:right="1417" w:bottom="1417" w:left="1417" w:header="5669" w:footer="566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D1C55"/>
    <w:multiLevelType w:val="multilevel"/>
    <w:tmpl w:val="EDB020E6"/>
    <w:lvl w:ilvl="0">
      <w:numFmt w:val="bullet"/>
      <w:lvlText w:val="·"/>
      <w:lvlJc w:val="left"/>
      <w:pPr>
        <w:tabs>
          <w:tab w:val="num" w:pos="720"/>
        </w:tabs>
        <w:ind w:left="720" w:hanging="360"/>
      </w:pPr>
      <w:rPr>
        <w:rFonts w:ascii="Symbol" w:hAnsi="Symbol" w:cs="Symbol"/>
        <w:color w:val="5B9BD5" w:themeColor="accent1"/>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15:restartNumberingAfterBreak="0">
    <w:nsid w:val="329A05BD"/>
    <w:multiLevelType w:val="multilevel"/>
    <w:tmpl w:val="136DA058"/>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569DB5FD"/>
    <w:multiLevelType w:val="multilevel"/>
    <w:tmpl w:val="531B6C65"/>
    <w:lvl w:ilvl="0">
      <w:start w:val="1"/>
      <w:numFmt w:val="lowerLetter"/>
      <w:lvlText w:val="%1."/>
      <w:lvlJc w:val="left"/>
      <w:pPr>
        <w:tabs>
          <w:tab w:val="num" w:pos="420"/>
        </w:tabs>
        <w:ind w:left="4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BB"/>
    <w:rsid w:val="005D7B5C"/>
    <w:rsid w:val="006A3490"/>
    <w:rsid w:val="006D30B5"/>
    <w:rsid w:val="006E0427"/>
    <w:rsid w:val="00A02607"/>
    <w:rsid w:val="00A3193E"/>
    <w:rsid w:val="00D613BB"/>
    <w:rsid w:val="00E62255"/>
    <w:rsid w:val="00ED0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27464-1FFF-4A0A-8E30-0695C9EB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319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kraj-jihocesky.cz\dfs\vhome\prochazkova2\home\Dokuments\GDPR\vzory\CR7017932" TargetMode="External"/><Relationship Id="rId5" Type="http://schemas.openxmlformats.org/officeDocument/2006/relationships/hyperlink" Target="file:///\\kraj-jihocesky.cz\dfs\vhome\prochazkova2\home\Dokuments\GDPR\vzory\CR7017931"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AABEF383</Template>
  <TotalTime>0</TotalTime>
  <Pages>1</Pages>
  <Words>630</Words>
  <Characters>3717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Markéta</dc:creator>
  <cp:keywords/>
  <dc:description/>
  <cp:lastModifiedBy>Procházková Markéta</cp:lastModifiedBy>
  <cp:revision>2</cp:revision>
  <dcterms:created xsi:type="dcterms:W3CDTF">2018-03-07T07:21:00Z</dcterms:created>
  <dcterms:modified xsi:type="dcterms:W3CDTF">2018-03-07T07:21:00Z</dcterms:modified>
</cp:coreProperties>
</file>